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297B" w14:textId="641BA9F4" w:rsidR="005805AC" w:rsidRDefault="005805AC" w:rsidP="00E35AF5">
      <w:pPr>
        <w:spacing w:before="0"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</w:pPr>
      <w:r w:rsidRPr="005805A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  <w:t>https://onu-habitat.org/index.php/componentes-del-derecho-a-la-ciudad</w:t>
      </w:r>
    </w:p>
    <w:p w14:paraId="771E49E7" w14:textId="77777777" w:rsidR="005805AC" w:rsidRDefault="005805AC" w:rsidP="00E35AF5">
      <w:pPr>
        <w:spacing w:before="0"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</w:pPr>
    </w:p>
    <w:p w14:paraId="631CF502" w14:textId="77777777" w:rsidR="005805AC" w:rsidRDefault="005805AC" w:rsidP="00E35AF5">
      <w:pPr>
        <w:spacing w:before="0" w:after="0" w:line="240" w:lineRule="auto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</w:pPr>
    </w:p>
    <w:p w14:paraId="1421DD62" w14:textId="60060C91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  <w:drawing>
          <wp:inline distT="0" distB="0" distL="0" distR="0" wp14:anchorId="4B02A3BD" wp14:editId="7A47BD2E">
            <wp:extent cx="1428750" cy="1285875"/>
            <wp:effectExtent l="0" t="0" r="0" b="9525"/>
            <wp:docPr id="22" name="Imagen 22" descr="ONU-Habitat">
              <a:hlinkClick xmlns:a="http://schemas.openxmlformats.org/drawingml/2006/main" r:id="rId5" tgtFrame="&quot;_self&quot;" tooltip="&quot;ONU-Habita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U-Habitat">
                      <a:hlinkClick r:id="rId5" tgtFrame="&quot;_self&quot;" tooltip="&quot;ONU-Habita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6C0C1" w14:textId="77777777" w:rsidR="00E35AF5" w:rsidRPr="00E35AF5" w:rsidRDefault="00E35AF5" w:rsidP="00E35AF5">
      <w:pPr>
        <w:pBdr>
          <w:bottom w:val="single" w:sz="6" w:space="1" w:color="auto"/>
        </w:pBdr>
        <w:spacing w:before="0"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UY"/>
        </w:rPr>
      </w:pPr>
      <w:r w:rsidRPr="00E35AF5">
        <w:rPr>
          <w:rFonts w:ascii="Arial" w:eastAsia="Times New Roman" w:hAnsi="Arial" w:cs="Arial"/>
          <w:vanish/>
          <w:sz w:val="16"/>
          <w:szCs w:val="16"/>
          <w:lang w:eastAsia="es-UY"/>
        </w:rPr>
        <w:t>Principio del formulario</w:t>
      </w:r>
    </w:p>
    <w:p w14:paraId="2B395B51" w14:textId="77777777" w:rsidR="00E35AF5" w:rsidRPr="00E35AF5" w:rsidRDefault="00E35AF5" w:rsidP="00E35AF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UY"/>
        </w:rPr>
      </w:pPr>
      <w:r w:rsidRPr="00E35AF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UY"/>
        </w:rPr>
        <w:t xml:space="preserve">Componentes del Derecho a la Ciudad </w:t>
      </w:r>
    </w:p>
    <w:p w14:paraId="5270E9DF" w14:textId="77777777" w:rsidR="00E35AF5" w:rsidRPr="00E35AF5" w:rsidRDefault="00E35AF5" w:rsidP="00E35AF5">
      <w:pPr>
        <w:spacing w:before="0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Visto: 188675</w:t>
      </w:r>
    </w:p>
    <w:p w14:paraId="50C8F9BC" w14:textId="2891152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sz w:val="24"/>
          <w:szCs w:val="24"/>
          <w:lang w:eastAsia="es-UY"/>
        </w:rPr>
        <w:drawing>
          <wp:inline distT="0" distB="0" distL="0" distR="0" wp14:anchorId="0AF76C50" wp14:editId="67D875F0">
            <wp:extent cx="5040000" cy="2856197"/>
            <wp:effectExtent l="0" t="0" r="825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8673" w14:textId="77777777" w:rsidR="00E35AF5" w:rsidRPr="00E35AF5" w:rsidRDefault="00E35AF5" w:rsidP="00E35AF5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El Derecho a la Ciudad es el derecho de todos los habitantes a habitar, utilizar, ocupar, producir, transformar, gobernar y disfrutar ciudades, pueblos y asentamientos urbanos justos, inclusivos, seguros, sostenibles y democráticos, definidos como bienes comunes para una vida digna.</w:t>
      </w:r>
    </w:p>
    <w:p w14:paraId="262FCBDC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99FF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0099FF"/>
          <w:sz w:val="24"/>
          <w:szCs w:val="24"/>
          <w:lang w:eastAsia="es-UY"/>
        </w:rPr>
        <w:t>ONU-</w:t>
      </w:r>
      <w:proofErr w:type="spellStart"/>
      <w:r w:rsidRPr="00E35AF5">
        <w:rPr>
          <w:rFonts w:ascii="Times New Roman" w:eastAsia="Times New Roman" w:hAnsi="Times New Roman" w:cs="Times New Roman"/>
          <w:color w:val="0099FF"/>
          <w:sz w:val="24"/>
          <w:szCs w:val="24"/>
          <w:lang w:eastAsia="es-UY"/>
        </w:rPr>
        <w:t>Habitat</w:t>
      </w:r>
      <w:proofErr w:type="spellEnd"/>
    </w:p>
    <w:p w14:paraId="12AC87D9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Febrero 24, 2020</w:t>
      </w:r>
    </w:p>
    <w:p w14:paraId="7FE449E6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pict w14:anchorId="5102EB30">
          <v:rect id="_x0000_i1025" style="width:0;height:1.5pt" o:hralign="center" o:hrstd="t" o:hr="t" fillcolor="#a0a0a0" stroked="f"/>
        </w:pict>
      </w:r>
    </w:p>
    <w:p w14:paraId="73F3F3FD" w14:textId="77777777" w:rsidR="00E35AF5" w:rsidRPr="00E35AF5" w:rsidRDefault="00E35AF5" w:rsidP="00E35A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92CA"/>
          <w:sz w:val="27"/>
          <w:szCs w:val="27"/>
          <w:lang w:eastAsia="es-UY"/>
        </w:rPr>
      </w:pPr>
      <w:r w:rsidRPr="00E35AF5">
        <w:rPr>
          <w:rFonts w:ascii="Times New Roman" w:eastAsia="Times New Roman" w:hAnsi="Times New Roman" w:cs="Times New Roman"/>
          <w:b/>
          <w:bCs/>
          <w:color w:val="0092CA"/>
          <w:sz w:val="27"/>
          <w:szCs w:val="27"/>
          <w:lang w:eastAsia="es-UY"/>
        </w:rPr>
        <w:t xml:space="preserve">Componentes del derecho a la ciudad </w:t>
      </w:r>
    </w:p>
    <w:p w14:paraId="70E41F6D" w14:textId="77777777" w:rsidR="00E35AF5" w:rsidRPr="00E35AF5" w:rsidRDefault="00AF1032" w:rsidP="00E35A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UY"/>
        </w:rPr>
      </w:pPr>
      <w:hyperlink r:id="rId8" w:tgtFrame="_blank" w:tooltip="Tuitea esta frase" w:history="1">
        <w:r w:rsidR="00E35AF5" w:rsidRPr="00E35AF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es-UY"/>
          </w:rPr>
          <w:t>Yo promuevo el #DerechoalaCiudad para garantizar ciudades libres de discriminación, inclusivas, igualitarias y con participación ciudadana.</w:t>
        </w:r>
      </w:hyperlink>
    </w:p>
    <w:p w14:paraId="7A9695CD" w14:textId="4A3CBB29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lastRenderedPageBreak/>
        <w:drawing>
          <wp:inline distT="0" distB="0" distL="0" distR="0" wp14:anchorId="78057E21" wp14:editId="2C8DCBA9">
            <wp:extent cx="5040000" cy="2856197"/>
            <wp:effectExtent l="0" t="0" r="825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DC764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>1. Una ciudad/asentamiento humano libre de discriminación por motivos de género, edad, estado de salud, ingresos, nacionalidad, origen étnico, condición migratoria u orientación política, religiosa o sexual.</w:t>
      </w:r>
      <w:r w:rsidRPr="00AF1032">
        <w:rPr>
          <w:rFonts w:ascii="Times New Roman" w:eastAsia="Times New Roman" w:hAnsi="Times New Roman" w:cs="Times New Roman"/>
          <w:sz w:val="32"/>
          <w:szCs w:val="32"/>
          <w:lang w:eastAsia="es-UY"/>
        </w:rPr>
        <w:t xml:space="preserve"> </w:t>
      </w:r>
    </w:p>
    <w:p w14:paraId="0BD73327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Que abarque las minorías y la diversidad étnica, racial, sexual y cultural, que respete, proteja y promueva todas las costumbres, recuerdos, identidades, idiomas y expresiones artísticas y culturales no discriminatorias de sus habitantes.</w:t>
      </w:r>
    </w:p>
    <w:p w14:paraId="59D22154" w14:textId="56DA3004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drawing>
          <wp:inline distT="0" distB="0" distL="0" distR="0" wp14:anchorId="05C4B533" wp14:editId="52A26334">
            <wp:extent cx="5040000" cy="2856197"/>
            <wp:effectExtent l="0" t="0" r="8255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7C43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>2. Una ciudad/asentamiento humano de igualdad de género, que adopte todas las medidas necesarias para combatir la discriminación contra las mujeres y las niñas en todas sus formas</w:t>
      </w:r>
    </w:p>
    <w:p w14:paraId="038D1400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Y que tome todas las medidas apropiadas para asegurar el pleno desarrollo de las mujeres y las niñas, garantizarles la igualdad en el ejercicio y la realización de los derechos humanos, y una vida libre de violencia.</w:t>
      </w:r>
    </w:p>
    <w:p w14:paraId="5644E8A4" w14:textId="44436EBE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lastRenderedPageBreak/>
        <w:drawing>
          <wp:inline distT="0" distB="0" distL="0" distR="0" wp14:anchorId="666806B8" wp14:editId="6AE430D2">
            <wp:extent cx="5040000" cy="2856197"/>
            <wp:effectExtent l="0" t="0" r="825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AE9A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 xml:space="preserve">3. Una ciudad/asentamiento humano de ciudadanía inclusiva en el que todos los habitantes (permanentes o temporales) sean considerados ciudadanos y se les trate con igualdad. </w:t>
      </w:r>
    </w:p>
    <w:p w14:paraId="38400750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Por ejemplo, las mujeres, las personas que viven en la pobreza o en situaciones de riesgo ambiental, los trabajadores de la economía informal, los grupos étnicos y religiosos, las personas LGBT, las personas con discapacidad, los niños, los jóvenes, los ancianos, los migrantes, los refugiados, los habitantes de la calle, las víctimas de la violencia y los pueblos indígenas.</w:t>
      </w:r>
    </w:p>
    <w:p w14:paraId="0B6558D7" w14:textId="747F5CB3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drawing>
          <wp:inline distT="0" distB="0" distL="0" distR="0" wp14:anchorId="3FD6AC97" wp14:editId="3F098C61">
            <wp:extent cx="5040000" cy="2856197"/>
            <wp:effectExtent l="0" t="0" r="825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DC3D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>4. Una ciudad/asentamiento humano con una mayor participación política en el definición, ejecución, seguimiento y formulación de presupuestos de las políticas urbanas y la ordenación del territorio con el fin de reforzar la transparencia, la eficacia y la inclusión de la diversidad de los habitantes y de sus organizaciones.</w:t>
      </w:r>
      <w:r w:rsidRPr="00AF1032">
        <w:rPr>
          <w:rFonts w:ascii="Times New Roman" w:eastAsia="Times New Roman" w:hAnsi="Times New Roman" w:cs="Times New Roman"/>
          <w:sz w:val="32"/>
          <w:szCs w:val="32"/>
          <w:lang w:eastAsia="es-UY"/>
        </w:rPr>
        <w:t xml:space="preserve"> </w:t>
      </w:r>
    </w:p>
    <w:p w14:paraId="10C6E97A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lastRenderedPageBreak/>
        <w:t>El Derecho a la Ciudad implica responsabilidades en todos los ámbitos de gobierno y ciudadanos para ejercer, reclamar, defender y promover la gobernanza equitativa y la función social de todos los asentamientos humanos dentro de un hábitat de derechos humanos.</w:t>
      </w:r>
    </w:p>
    <w:p w14:paraId="39F7B494" w14:textId="4C76AE5B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drawing>
          <wp:inline distT="0" distB="0" distL="0" distR="0" wp14:anchorId="29A7FE57" wp14:editId="5300AB69">
            <wp:extent cx="5040000" cy="2856197"/>
            <wp:effectExtent l="0" t="0" r="825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761A3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>5. Una ciudad/asentamiento humano que cumpla sus funciones sociales, es decir, que garantice el acceso equitativo y asequible de todos a la vivienda, los bienes, los servicios y las oportunidades urbanas, en particular para las mujeres, los grupos marginados y las personas con necesidades especiales</w:t>
      </w:r>
      <w:r w:rsidRPr="00AF1032">
        <w:rPr>
          <w:rFonts w:ascii="Times New Roman" w:eastAsia="Times New Roman" w:hAnsi="Times New Roman" w:cs="Times New Roman"/>
          <w:sz w:val="32"/>
          <w:szCs w:val="32"/>
          <w:lang w:eastAsia="es-UY"/>
        </w:rPr>
        <w:t>.</w:t>
      </w:r>
    </w:p>
    <w:p w14:paraId="57C99C2E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Y que dé prioridad al interés público y social definido colectivamente, garantice un uso justo y ambientalmente equilibrado de los espacios urbanos y rurales, y reconozca y apoye la producción social del hábitat humanos.</w:t>
      </w:r>
    </w:p>
    <w:p w14:paraId="6C797530" w14:textId="283BF018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drawing>
          <wp:inline distT="0" distB="0" distL="0" distR="0" wp14:anchorId="2CD50F25" wp14:editId="7E62DD20">
            <wp:extent cx="5040000" cy="2856197"/>
            <wp:effectExtent l="0" t="0" r="825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1A289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 xml:space="preserve">6. Una ciudad/asentamiento humano con espacios y servicios públicos de calidad que mejoren las interacciones sociales y la </w:t>
      </w: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lastRenderedPageBreak/>
        <w:t>participación política, promuevan las expresiones socioculturales, abracen la diversidad y fomenten la cohesión social.</w:t>
      </w:r>
    </w:p>
    <w:p w14:paraId="10150B0F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En el que los espacios y servicios públicos contribuyan a construir ciudades más seguras (especialmente para mujeres y niñas) y a satisfacer las necesidades de sus habitantes (especialmente las relacionadas con los medios de subsistencia).</w:t>
      </w:r>
    </w:p>
    <w:p w14:paraId="1255F526" w14:textId="6D0FD335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drawing>
          <wp:inline distT="0" distB="0" distL="0" distR="0" wp14:anchorId="04B2D97C" wp14:editId="0FE8A14C">
            <wp:extent cx="5040000" cy="2856197"/>
            <wp:effectExtent l="0" t="0" r="825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7D36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>7. Una ciudad/asentamiento humano con economías diversas e inclusivas que salvaguarde y asegure el acceso a medios de vida seguros y trabajo decente para todos sus residentes.</w:t>
      </w:r>
    </w:p>
    <w:p w14:paraId="55924241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Por ejemplo, economía social y solidaria, economía compartida, reconozca el cuidado doméstico y el trabajo comunitario desarrollado en gran medida por las mujeres, y garantice el pleno desarrollo de las mujeres y las niñas.</w:t>
      </w:r>
    </w:p>
    <w:p w14:paraId="670495F2" w14:textId="0762DA1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494343"/>
          <w:sz w:val="24"/>
          <w:szCs w:val="24"/>
          <w:lang w:eastAsia="es-UY"/>
        </w:rPr>
        <w:drawing>
          <wp:inline distT="0" distB="0" distL="0" distR="0" wp14:anchorId="5C4E11C2" wp14:editId="2507E197">
            <wp:extent cx="5040000" cy="2856197"/>
            <wp:effectExtent l="0" t="0" r="825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5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590E" w14:textId="77777777" w:rsidR="00E35AF5" w:rsidRPr="00AF1032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es-UY"/>
        </w:rPr>
      </w:pPr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lastRenderedPageBreak/>
        <w:t xml:space="preserve">8. Una ciudad/asentamiento humano sostenible con vínculos </w:t>
      </w:r>
      <w:proofErr w:type="spellStart"/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>urbanorurales</w:t>
      </w:r>
      <w:proofErr w:type="spellEnd"/>
      <w:r w:rsidRPr="00AF1032">
        <w:rPr>
          <w:rFonts w:ascii="Times New Roman" w:eastAsia="Times New Roman" w:hAnsi="Times New Roman" w:cs="Times New Roman"/>
          <w:b/>
          <w:bCs/>
          <w:sz w:val="32"/>
          <w:szCs w:val="32"/>
          <w:lang w:eastAsia="es-UY"/>
        </w:rPr>
        <w:t xml:space="preserve"> inclusivos que beneficie a las personas empobrecidas, tanto en zonas rurales como urbanas, y asegure la soberanía alimentaria</w:t>
      </w:r>
    </w:p>
    <w:p w14:paraId="39DA3664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494343"/>
          <w:sz w:val="24"/>
          <w:szCs w:val="24"/>
          <w:lang w:eastAsia="es-UY"/>
        </w:rPr>
        <w:t>Una ciudad que proteja la biodiversidad, los hábitats naturales y los ecosistemas de su entorno.</w:t>
      </w:r>
    </w:p>
    <w:p w14:paraId="03657F09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pict w14:anchorId="3A0C23A8">
          <v:rect id="_x0000_i1026" style="width:0;height:1.5pt" o:hralign="center" o:hrstd="t" o:hr="t" fillcolor="#a0a0a0" stroked="f"/>
        </w:pict>
      </w:r>
    </w:p>
    <w:p w14:paraId="67C7348A" w14:textId="77777777" w:rsidR="00E35AF5" w:rsidRPr="00E35AF5" w:rsidRDefault="00AF1032" w:rsidP="00E35AF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UY"/>
        </w:rPr>
      </w:pPr>
      <w:hyperlink r:id="rId17" w:tgtFrame="_blank" w:tooltip="Tuitea esta frase" w:history="1">
        <w:r w:rsidR="00E35AF5" w:rsidRPr="00E35AF5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es-UY"/>
          </w:rPr>
          <w:t>Yo promuevo el #DerechoalaCiudad para garantizar ciudades libres de discriminación, inclusivas, igualitarias y con participación ciudadana.</w:t>
        </w:r>
      </w:hyperlink>
    </w:p>
    <w:p w14:paraId="60377BC8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pict w14:anchorId="7EC0B83F">
          <v:rect id="_x0000_i1027" style="width:0;height:1.5pt" o:hralign="center" o:hrstd="t" o:hr="t" fillcolor="#a0a0a0" stroked="f"/>
        </w:pict>
      </w:r>
    </w:p>
    <w:p w14:paraId="4B9485D7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fldChar w:fldCharType="begin"/>
      </w: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instrText xml:space="preserve"> HYPERLINK "https://www.right2city.org/wp-content/uploads/2019/09/A6.1_Agenda-del-derecho-a-la-ciudad.pdf" \t "_blank" </w:instrText>
      </w: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fldChar w:fldCharType="separate"/>
      </w:r>
    </w:p>
    <w:p w14:paraId="1BDF6F4F" w14:textId="77777777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UY"/>
        </w:rPr>
        <w:t>Descarga la Agenda del Derecho a la Ciudad</w:t>
      </w:r>
    </w:p>
    <w:p w14:paraId="65BDFA3F" w14:textId="106F0DD9" w:rsidR="00E35AF5" w:rsidRPr="00E35AF5" w:rsidRDefault="00E35AF5" w:rsidP="00E35A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  <w:drawing>
          <wp:inline distT="0" distB="0" distL="0" distR="0" wp14:anchorId="42694F62" wp14:editId="0268FAED">
            <wp:extent cx="2286000" cy="2371725"/>
            <wp:effectExtent l="0" t="0" r="0" b="9525"/>
            <wp:docPr id="12" name="Imagen 12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26D7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fldChar w:fldCharType="end"/>
      </w:r>
    </w:p>
    <w:p w14:paraId="3790DA67" w14:textId="77777777" w:rsidR="00E35AF5" w:rsidRPr="00E35AF5" w:rsidRDefault="00E35AF5" w:rsidP="00E35AF5">
      <w:pPr>
        <w:pBdr>
          <w:top w:val="single" w:sz="6" w:space="1" w:color="auto"/>
        </w:pBdr>
        <w:spacing w:before="0"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UY"/>
        </w:rPr>
      </w:pPr>
      <w:r w:rsidRPr="00E35AF5">
        <w:rPr>
          <w:rFonts w:ascii="Arial" w:eastAsia="Times New Roman" w:hAnsi="Arial" w:cs="Arial"/>
          <w:vanish/>
          <w:sz w:val="16"/>
          <w:szCs w:val="16"/>
          <w:lang w:eastAsia="es-UY"/>
        </w:rPr>
        <w:t>Final del formulario</w:t>
      </w:r>
    </w:p>
    <w:p w14:paraId="4B178599" w14:textId="6E020E6E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UY"/>
        </w:rPr>
        <w:drawing>
          <wp:inline distT="0" distB="0" distL="0" distR="0" wp14:anchorId="7B33FA9A" wp14:editId="7FBDC9DB">
            <wp:extent cx="2266950" cy="2938641"/>
            <wp:effectExtent l="0" t="0" r="0" b="0"/>
            <wp:docPr id="1" name="Imagen 1" descr="Descarga la Nueva Agenda Urbana en español">
              <a:hlinkClick xmlns:a="http://schemas.openxmlformats.org/drawingml/2006/main" r:id="rId20" tgtFrame="&quot;_self&quot;" tooltip="&quot;Descarga la Nueva Agenda Urbana en españo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arga la Nueva Agenda Urbana en español">
                      <a:hlinkClick r:id="rId20" tgtFrame="&quot;_self&quot;" tooltip="&quot;Descarga la Nueva Agenda Urbana en españo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091" cy="295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12CD" w14:textId="77777777" w:rsidR="00E35AF5" w:rsidRPr="00E35AF5" w:rsidRDefault="00E35AF5" w:rsidP="00E35A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UY"/>
        </w:rPr>
      </w:pPr>
      <w:r w:rsidRPr="00E35AF5">
        <w:rPr>
          <w:rFonts w:ascii="Times New Roman" w:eastAsia="Times New Roman" w:hAnsi="Times New Roman" w:cs="Times New Roman"/>
          <w:b/>
          <w:bCs/>
          <w:sz w:val="36"/>
          <w:szCs w:val="36"/>
          <w:lang w:eastAsia="es-UY"/>
        </w:rPr>
        <w:lastRenderedPageBreak/>
        <w:t xml:space="preserve">Enlaces </w:t>
      </w:r>
    </w:p>
    <w:p w14:paraId="5377229B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2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Trabaja con nosotros</w:t>
        </w:r>
      </w:hyperlink>
    </w:p>
    <w:p w14:paraId="1C776FE0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Conoce </w:t>
      </w:r>
      <w:proofErr w:type="gramStart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la vacantes abiertas</w:t>
      </w:r>
      <w:proofErr w:type="gramEnd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de ONU-</w:t>
      </w:r>
      <w:proofErr w:type="spellStart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Habitat</w:t>
      </w:r>
      <w:proofErr w:type="spellEnd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América Latina</w:t>
      </w:r>
    </w:p>
    <w:p w14:paraId="2D0B9681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3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Nueva Agenda Urbana</w:t>
        </w:r>
      </w:hyperlink>
    </w:p>
    <w:p w14:paraId="30999A32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Consulta y descarga la Nueva Agenda Urbana en español</w:t>
      </w:r>
    </w:p>
    <w:p w14:paraId="0FBD4702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4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Términos de Uso</w:t>
        </w:r>
      </w:hyperlink>
    </w:p>
    <w:p w14:paraId="6B59DF35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proofErr w:type="spellStart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Terminos</w:t>
      </w:r>
      <w:proofErr w:type="spellEnd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de uso de este sitio web</w:t>
      </w:r>
    </w:p>
    <w:p w14:paraId="71D4D908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5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Políticas de Privacidad</w:t>
        </w:r>
      </w:hyperlink>
    </w:p>
    <w:p w14:paraId="0D96ED96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Políticas sobre el uso de datos personales</w:t>
      </w:r>
    </w:p>
    <w:p w14:paraId="722559B2" w14:textId="77777777" w:rsidR="00E35AF5" w:rsidRPr="00E35AF5" w:rsidRDefault="00E35AF5" w:rsidP="00E35A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UY"/>
        </w:rPr>
      </w:pPr>
      <w:r w:rsidRPr="00E35AF5">
        <w:rPr>
          <w:rFonts w:ascii="Times New Roman" w:eastAsia="Times New Roman" w:hAnsi="Times New Roman" w:cs="Times New Roman"/>
          <w:b/>
          <w:bCs/>
          <w:sz w:val="36"/>
          <w:szCs w:val="36"/>
          <w:lang w:eastAsia="es-UY"/>
        </w:rPr>
        <w:t>Nuestras redes sociales</w:t>
      </w:r>
    </w:p>
    <w:p w14:paraId="1DEF0970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América Latina y El Caribe</w:t>
      </w:r>
    </w:p>
    <w:p w14:paraId="7649C641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6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 xml:space="preserve">X </w:t>
        </w:r>
      </w:hyperlink>
    </w:p>
    <w:p w14:paraId="0747B124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7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 xml:space="preserve">Facebook </w:t>
        </w:r>
      </w:hyperlink>
    </w:p>
    <w:p w14:paraId="64635990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8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Instagram</w:t>
        </w:r>
      </w:hyperlink>
    </w:p>
    <w:p w14:paraId="526FDEF3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29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YouTube</w:t>
        </w:r>
      </w:hyperlink>
    </w:p>
    <w:p w14:paraId="28C8F0DD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30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 xml:space="preserve">Spotify </w:t>
        </w:r>
      </w:hyperlink>
    </w:p>
    <w:p w14:paraId="3FCD06EE" w14:textId="77777777" w:rsidR="00E35AF5" w:rsidRPr="00E35AF5" w:rsidRDefault="00E35AF5" w:rsidP="00E35AF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UY"/>
        </w:rPr>
      </w:pPr>
      <w:r w:rsidRPr="00E35AF5">
        <w:rPr>
          <w:rFonts w:ascii="Times New Roman" w:eastAsia="Times New Roman" w:hAnsi="Times New Roman" w:cs="Times New Roman"/>
          <w:b/>
          <w:bCs/>
          <w:sz w:val="36"/>
          <w:szCs w:val="36"/>
          <w:lang w:eastAsia="es-UY"/>
        </w:rPr>
        <w:t>Contáctanos</w:t>
      </w:r>
    </w:p>
    <w:p w14:paraId="378FBE97" w14:textId="77777777" w:rsidR="00E35AF5" w:rsidRPr="00E35AF5" w:rsidRDefault="00E35AF5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Mesoamérica</w:t>
      </w:r>
    </w:p>
    <w:p w14:paraId="208F7070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31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 xml:space="preserve">X </w:t>
        </w:r>
      </w:hyperlink>
    </w:p>
    <w:p w14:paraId="39D93A66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32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 xml:space="preserve">Facebook </w:t>
        </w:r>
      </w:hyperlink>
    </w:p>
    <w:p w14:paraId="5DA2405B" w14:textId="77777777" w:rsidR="00E35AF5" w:rsidRPr="00E35AF5" w:rsidRDefault="00AF1032" w:rsidP="00E35AF5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hyperlink r:id="rId33" w:tgtFrame="_blank" w:history="1">
        <w:r w:rsidR="00E35AF5" w:rsidRPr="00E35AF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UY"/>
          </w:rPr>
          <w:t>Instagram</w:t>
        </w:r>
      </w:hyperlink>
    </w:p>
    <w:p w14:paraId="668E9DEB" w14:textId="3A661C32" w:rsidR="00345CF3" w:rsidRDefault="00E35AF5" w:rsidP="00AF1032">
      <w:pPr>
        <w:spacing w:before="0" w:after="0" w:line="240" w:lineRule="auto"/>
      </w:pPr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© 2026 ONU-</w:t>
      </w:r>
      <w:proofErr w:type="spellStart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>Habitat</w:t>
      </w:r>
      <w:proofErr w:type="spellEnd"/>
      <w:r w:rsidRPr="00E35AF5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. El Programa de las Naciones Unidas para los Asentamientos Humanos </w:t>
      </w:r>
    </w:p>
    <w:sectPr w:rsidR="00345CF3" w:rsidSect="00454757">
      <w:pgSz w:w="11906" w:h="16838"/>
      <w:pgMar w:top="1440" w:right="1083" w:bottom="720" w:left="1083" w:header="709" w:footer="709" w:gutter="36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D5148"/>
    <w:multiLevelType w:val="multilevel"/>
    <w:tmpl w:val="08249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AF5"/>
    <w:rsid w:val="00345CF3"/>
    <w:rsid w:val="00454757"/>
    <w:rsid w:val="005805AC"/>
    <w:rsid w:val="00AF1032"/>
    <w:rsid w:val="00E3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1742E"/>
  <w15:chartTrackingRefBased/>
  <w15:docId w15:val="{C47FC0D5-F694-448F-8B31-0ADCFA7B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before="80" w:after="8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35A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paragraph" w:styleId="Ttulo2">
    <w:name w:val="heading 2"/>
    <w:basedOn w:val="Normal"/>
    <w:link w:val="Ttulo2Car"/>
    <w:uiPriority w:val="9"/>
    <w:qFormat/>
    <w:rsid w:val="00E35A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paragraph" w:styleId="Ttulo3">
    <w:name w:val="heading 3"/>
    <w:basedOn w:val="Normal"/>
    <w:link w:val="Ttulo3Car"/>
    <w:uiPriority w:val="9"/>
    <w:qFormat/>
    <w:rsid w:val="00E35A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5AF5"/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character" w:customStyle="1" w:styleId="Ttulo2Car">
    <w:name w:val="Título 2 Car"/>
    <w:basedOn w:val="Fuentedeprrafopredeter"/>
    <w:link w:val="Ttulo2"/>
    <w:uiPriority w:val="9"/>
    <w:rsid w:val="00E35AF5"/>
    <w:rPr>
      <w:rFonts w:ascii="Times New Roman" w:eastAsia="Times New Roman" w:hAnsi="Times New Roman" w:cs="Times New Roman"/>
      <w:b/>
      <w:bCs/>
      <w:sz w:val="36"/>
      <w:szCs w:val="36"/>
      <w:lang w:eastAsia="es-UY"/>
    </w:rPr>
  </w:style>
  <w:style w:type="character" w:customStyle="1" w:styleId="Ttulo3Car">
    <w:name w:val="Título 3 Car"/>
    <w:basedOn w:val="Fuentedeprrafopredeter"/>
    <w:link w:val="Ttulo3"/>
    <w:uiPriority w:val="9"/>
    <w:rsid w:val="00E35AF5"/>
    <w:rPr>
      <w:rFonts w:ascii="Times New Roman" w:eastAsia="Times New Roman" w:hAnsi="Times New Roman" w:cs="Times New Roman"/>
      <w:b/>
      <w:bCs/>
      <w:sz w:val="27"/>
      <w:szCs w:val="27"/>
      <w:lang w:eastAsia="es-UY"/>
    </w:rPr>
  </w:style>
  <w:style w:type="character" w:styleId="Hipervnculo">
    <w:name w:val="Hyperlink"/>
    <w:basedOn w:val="Fuentedeprrafopredeter"/>
    <w:uiPriority w:val="99"/>
    <w:semiHidden/>
    <w:unhideWhenUsed/>
    <w:rsid w:val="00E35AF5"/>
    <w:rPr>
      <w:color w:val="0000FF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35AF5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UY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35AF5"/>
    <w:rPr>
      <w:rFonts w:ascii="Arial" w:eastAsia="Times New Roman" w:hAnsi="Arial" w:cs="Arial"/>
      <w:vanish/>
      <w:sz w:val="16"/>
      <w:szCs w:val="16"/>
      <w:lang w:eastAsia="es-UY"/>
    </w:rPr>
  </w:style>
  <w:style w:type="character" w:customStyle="1" w:styleId="visually-hidden">
    <w:name w:val="visually-hidden"/>
    <w:basedOn w:val="Fuentedeprrafopredeter"/>
    <w:rsid w:val="00E35AF5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35AF5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UY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35AF5"/>
    <w:rPr>
      <w:rFonts w:ascii="Arial" w:eastAsia="Times New Roman" w:hAnsi="Arial" w:cs="Arial"/>
      <w:vanish/>
      <w:sz w:val="16"/>
      <w:szCs w:val="16"/>
      <w:lang w:eastAsia="es-UY"/>
    </w:rPr>
  </w:style>
  <w:style w:type="paragraph" w:customStyle="1" w:styleId="g-menu-item">
    <w:name w:val="g-menu-item"/>
    <w:basedOn w:val="Normal"/>
    <w:rsid w:val="00E3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g-menu-item-content">
    <w:name w:val="g-menu-item-content"/>
    <w:basedOn w:val="Fuentedeprrafopredeter"/>
    <w:rsid w:val="00E35AF5"/>
  </w:style>
  <w:style w:type="character" w:customStyle="1" w:styleId="g-menu-item-title">
    <w:name w:val="g-menu-item-title"/>
    <w:basedOn w:val="Fuentedeprrafopredeter"/>
    <w:rsid w:val="00E35AF5"/>
  </w:style>
  <w:style w:type="paragraph" w:customStyle="1" w:styleId="g-dropdown-column">
    <w:name w:val="g-dropdown-column"/>
    <w:basedOn w:val="Normal"/>
    <w:rsid w:val="00E3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g-separator">
    <w:name w:val="g-separator"/>
    <w:basedOn w:val="Fuentedeprrafopredeter"/>
    <w:rsid w:val="00E35AF5"/>
  </w:style>
  <w:style w:type="paragraph" w:styleId="NormalWeb">
    <w:name w:val="Normal (Web)"/>
    <w:basedOn w:val="Normal"/>
    <w:uiPriority w:val="99"/>
    <w:semiHidden/>
    <w:unhideWhenUsed/>
    <w:rsid w:val="00E3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customStyle="1" w:styleId="tweetable">
    <w:name w:val="tweetable"/>
    <w:basedOn w:val="Fuentedeprrafopredeter"/>
    <w:rsid w:val="00E35AF5"/>
  </w:style>
  <w:style w:type="paragraph" w:customStyle="1" w:styleId="alert">
    <w:name w:val="alert"/>
    <w:basedOn w:val="Normal"/>
    <w:rsid w:val="00E35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UY"/>
    </w:rPr>
  </w:style>
  <w:style w:type="character" w:styleId="Textoennegrita">
    <w:name w:val="Strong"/>
    <w:basedOn w:val="Fuentedeprrafopredeter"/>
    <w:uiPriority w:val="22"/>
    <w:qFormat/>
    <w:rsid w:val="00E35AF5"/>
    <w:rPr>
      <w:b/>
      <w:bCs/>
    </w:rPr>
  </w:style>
  <w:style w:type="character" w:customStyle="1" w:styleId="g-array-item-date">
    <w:name w:val="g-array-item-date"/>
    <w:basedOn w:val="Fuentedeprrafopredeter"/>
    <w:rsid w:val="00E35AF5"/>
  </w:style>
  <w:style w:type="character" w:customStyle="1" w:styleId="g-array-item-author">
    <w:name w:val="g-array-item-author"/>
    <w:basedOn w:val="Fuentedeprrafopredeter"/>
    <w:rsid w:val="00E35AF5"/>
  </w:style>
  <w:style w:type="character" w:customStyle="1" w:styleId="g-array-item-category">
    <w:name w:val="g-array-item-category"/>
    <w:basedOn w:val="Fuentedeprrafopredeter"/>
    <w:rsid w:val="00E35AF5"/>
  </w:style>
  <w:style w:type="character" w:customStyle="1" w:styleId="g-array-item-hits">
    <w:name w:val="g-array-item-hits"/>
    <w:basedOn w:val="Fuentedeprrafopredeter"/>
    <w:rsid w:val="00E35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9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63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07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61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43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75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4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7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2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6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0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32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9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19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3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41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65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8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12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1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96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77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53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133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372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82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422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84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74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8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74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9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5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3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29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48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63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13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368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03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279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6786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2226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70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22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058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35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6587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813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2966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8403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134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63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06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50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9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8393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071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102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7042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44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0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343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5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1499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738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6774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499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293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38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955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067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61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62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170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4973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60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62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585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69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4660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395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452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894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50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34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8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8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27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1643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7077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910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517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077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79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08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4902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615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176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5165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6598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90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060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7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842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2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57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705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57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549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87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67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496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9800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23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368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43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623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8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87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11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393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4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6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72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93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2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534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6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66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591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73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64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419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03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00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27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2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06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25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65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673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5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6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02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60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8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7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21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0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54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9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84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09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27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988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3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8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97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44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78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07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85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21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8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23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4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7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2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right2city.org/wp-content/uploads/2019/09/A6.1_Agenda-del-derecho-a-la-ciudad.pdf" TargetMode="External"/><Relationship Id="rId26" Type="http://schemas.openxmlformats.org/officeDocument/2006/relationships/hyperlink" Target="https://www.twitter.com/onuhabita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twitter.com/intent/tweet?url=https%3A%2F%2Fonu-habitat.org%2Findex.php%2Fcomponentes-del-derecho-a-la-ciudad&amp;text=Yo%20promuevo%20el%20%23DerechoalaCiudad%20para%20garantizar%20ciudades%20libres%20de%20discriminaci%C3%B3n%2C%20inclusivas%2C%20igualitarias%20y%20con%20participaci%C3%B3n%20ciudadana.%20%40onuhabitatMex." TargetMode="External"/><Relationship Id="rId25" Type="http://schemas.openxmlformats.org/officeDocument/2006/relationships/hyperlink" Target="https://onu-habitat.org/index.php/politica-de-privacidad" TargetMode="External"/><Relationship Id="rId33" Type="http://schemas.openxmlformats.org/officeDocument/2006/relationships/hyperlink" Target="https://www.instagram.com/onuhabitatm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nu-habitat.org/index.php/la-nueva-agenda-urbana-en-espanol" TargetMode="External"/><Relationship Id="rId29" Type="http://schemas.openxmlformats.org/officeDocument/2006/relationships/hyperlink" Target="https://www.youtube.com/@ONUHabitatme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s://onu-habitat.org/index.php/terminos-de-uso" TargetMode="External"/><Relationship Id="rId32" Type="http://schemas.openxmlformats.org/officeDocument/2006/relationships/hyperlink" Target="https://www.facebook.com/ONUHabitatMexico/" TargetMode="External"/><Relationship Id="rId5" Type="http://schemas.openxmlformats.org/officeDocument/2006/relationships/hyperlink" Target="https://onu-habitat.org/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onu-habitat.org/index.php/la-nueva-agenda-urbana-en-espanol" TargetMode="External"/><Relationship Id="rId28" Type="http://schemas.openxmlformats.org/officeDocument/2006/relationships/hyperlink" Target="https://www.instagram.com/onuhabitatalc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twitter.com/ONUHabitatMe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onu-habitat.org/index.php/trabaja-en-onu-habitat" TargetMode="External"/><Relationship Id="rId27" Type="http://schemas.openxmlformats.org/officeDocument/2006/relationships/hyperlink" Target="https://www.facebook.com/ONUHabitat.es/" TargetMode="External"/><Relationship Id="rId30" Type="http://schemas.openxmlformats.org/officeDocument/2006/relationships/hyperlink" Target="https://open.spotify.com/show/73kKxtnEHHP4uMs8vAWZHR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twitter.com/intent/tweet?url=https%3A%2F%2Fonu-habitat.org%2Findex.php%2Fcomponentes-del-derecho-a-la-ciudad&amp;text=Yo%20promuevo%20el%20%23DerechoalaCiudad%20para%20garantizar%20ciudades%20libres%20de%20discriminaci%C3%B3n%2C%20inclusivas%2C%20igualitarias%20y%20con%20participaci%C3%B3n%20ciudadana.%20%40onuhabitatMex.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1044</Words>
  <Characters>5743</Characters>
  <Application>Microsoft Office Word</Application>
  <DocSecurity>0</DocSecurity>
  <Lines>47</Lines>
  <Paragraphs>13</Paragraphs>
  <ScaleCrop>false</ScaleCrop>
  <Company/>
  <LinksUpToDate>false</LinksUpToDate>
  <CharactersWithSpaces>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2026-02-23T19:02:00Z</dcterms:created>
  <dcterms:modified xsi:type="dcterms:W3CDTF">2026-02-23T19:29:00Z</dcterms:modified>
</cp:coreProperties>
</file>